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4"/>
      </w:tblGrid>
      <w:tr w:rsidR="00D41C8C" w:rsidTr="00D41C8C">
        <w:tc>
          <w:tcPr>
            <w:tcW w:w="4219" w:type="dxa"/>
          </w:tcPr>
          <w:p w:rsidR="00D41C8C" w:rsidRPr="00D41C8C" w:rsidRDefault="00D41C8C" w:rsidP="00D41C8C">
            <w:pPr>
              <w:spacing w:after="0" w:line="240" w:lineRule="auto"/>
              <w:jc w:val="center"/>
            </w:pPr>
            <w:bookmarkStart w:id="0" w:name="_GoBack"/>
            <w:bookmarkEnd w:id="0"/>
            <w:r w:rsidRPr="00D41C8C">
              <w:t>ĐẢNG BỘ TỈNH LÂM ĐỒNG</w:t>
            </w:r>
          </w:p>
          <w:p w:rsidR="00D41C8C" w:rsidRDefault="00D41C8C" w:rsidP="00D41C8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HUYỆN ỦY ĐAM RÔNG</w:t>
            </w:r>
          </w:p>
          <w:p w:rsidR="00D41C8C" w:rsidRDefault="00D41C8C" w:rsidP="00D41C8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5354" w:type="dxa"/>
          </w:tcPr>
          <w:p w:rsidR="00D41C8C" w:rsidRPr="00D41C8C" w:rsidRDefault="00D41C8C" w:rsidP="00D41C8C">
            <w:pPr>
              <w:spacing w:after="0" w:line="240" w:lineRule="auto"/>
              <w:jc w:val="center"/>
              <w:rPr>
                <w:b/>
                <w:sz w:val="30"/>
                <w:szCs w:val="30"/>
              </w:rPr>
            </w:pPr>
            <w:r w:rsidRPr="00D41C8C">
              <w:rPr>
                <w:b/>
                <w:sz w:val="30"/>
                <w:szCs w:val="30"/>
              </w:rPr>
              <w:t>ĐẢNG CỘNG SẢN VIỆT NAM</w:t>
            </w:r>
          </w:p>
          <w:p w:rsidR="00D41C8C" w:rsidRPr="00D41C8C" w:rsidRDefault="00D41C8C" w:rsidP="00D41C8C">
            <w:pPr>
              <w:spacing w:after="0" w:line="240" w:lineRule="auto"/>
              <w:jc w:val="center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A4F2B8" wp14:editId="3F006AFD">
                      <wp:simplePos x="0" y="0"/>
                      <wp:positionH relativeFrom="column">
                        <wp:posOffset>285132</wp:posOffset>
                      </wp:positionH>
                      <wp:positionV relativeFrom="paragraph">
                        <wp:posOffset>0</wp:posOffset>
                      </wp:positionV>
                      <wp:extent cx="2701925" cy="0"/>
                      <wp:effectExtent l="0" t="0" r="222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1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.45pt,0" to="235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" strokecolor="black [3040]"/>
                  </w:pict>
                </mc:Fallback>
              </mc:AlternateContent>
            </w:r>
            <w:r w:rsidRPr="00D41C8C">
              <w:rPr>
                <w:i/>
              </w:rPr>
              <w:t>Đam Rông, ngày       tháng 3 năm 2024</w:t>
            </w:r>
          </w:p>
        </w:tc>
      </w:tr>
    </w:tbl>
    <w:p w:rsidR="00970F5C" w:rsidRDefault="00E928BA" w:rsidP="00D41C8C">
      <w:pPr>
        <w:spacing w:after="0" w:line="240" w:lineRule="auto"/>
        <w:jc w:val="center"/>
        <w:rPr>
          <w:b/>
        </w:rPr>
      </w:pPr>
      <w:r>
        <w:rPr>
          <w:b/>
        </w:rPr>
        <w:t>PHỤ LỤC I</w:t>
      </w:r>
    </w:p>
    <w:p w:rsidR="00970F5C" w:rsidRDefault="00E928BA" w:rsidP="00D41C8C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b/>
          <w:szCs w:val="28"/>
        </w:rPr>
        <w:t xml:space="preserve">Kết quả thực hiện một số chỉ tiêu, nhiệm vụ </w:t>
      </w:r>
      <w:r>
        <w:rPr>
          <w:rFonts w:cs="Times New Roman"/>
          <w:b/>
          <w:szCs w:val="28"/>
        </w:rPr>
        <w:t xml:space="preserve">về phát triển KT </w:t>
      </w:r>
      <w:r w:rsidR="00D41C8C">
        <w:rPr>
          <w:rFonts w:cs="Times New Roman"/>
          <w:b/>
          <w:szCs w:val="28"/>
        </w:rPr>
        <w:t>-</w:t>
      </w:r>
      <w:r>
        <w:rPr>
          <w:rFonts w:cs="Times New Roman"/>
          <w:b/>
          <w:szCs w:val="28"/>
        </w:rPr>
        <w:t xml:space="preserve"> XH  quý I năm 2024 theo</w:t>
      </w:r>
      <w:r>
        <w:rPr>
          <w:b/>
          <w:szCs w:val="28"/>
        </w:rPr>
        <w:t xml:space="preserve"> Nghị Quyết </w:t>
      </w:r>
      <w:r>
        <w:rPr>
          <w:rFonts w:cs="Times New Roman"/>
          <w:b/>
          <w:szCs w:val="28"/>
        </w:rPr>
        <w:t xml:space="preserve">số </w:t>
      </w:r>
      <w:r>
        <w:rPr>
          <w:rFonts w:cs="Times New Roman"/>
          <w:b/>
          <w:spacing w:val="4"/>
          <w:szCs w:val="28"/>
        </w:rPr>
        <w:t>09/NQ-HU ngày 05/12/2023</w:t>
      </w:r>
      <w:r>
        <w:rPr>
          <w:rFonts w:cs="Times New Roman"/>
          <w:b/>
          <w:szCs w:val="28"/>
        </w:rPr>
        <w:t xml:space="preserve"> của Huyện ủy</w:t>
      </w:r>
    </w:p>
    <w:p w:rsidR="00970F5C" w:rsidRDefault="00E928BA" w:rsidP="00D41C8C">
      <w:pPr>
        <w:spacing w:after="0" w:line="240" w:lineRule="auto"/>
        <w:jc w:val="center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 xml:space="preserve">(Kèm Báo cáo số        </w:t>
      </w:r>
      <w:r w:rsidR="00D41C8C">
        <w:rPr>
          <w:rFonts w:cs="Times New Roman"/>
          <w:i/>
          <w:szCs w:val="28"/>
        </w:rPr>
        <w:t>-</w:t>
      </w:r>
      <w:r>
        <w:rPr>
          <w:rFonts w:cs="Times New Roman"/>
          <w:i/>
          <w:szCs w:val="28"/>
        </w:rPr>
        <w:t>BC</w:t>
      </w:r>
      <w:r w:rsidR="00D41C8C">
        <w:rPr>
          <w:rFonts w:cs="Times New Roman"/>
          <w:i/>
          <w:szCs w:val="28"/>
        </w:rPr>
        <w:t>/HU,</w:t>
      </w:r>
      <w:r>
        <w:rPr>
          <w:rFonts w:cs="Times New Roman"/>
          <w:i/>
          <w:szCs w:val="28"/>
        </w:rPr>
        <w:t xml:space="preserve"> ngày     /3/2024 của </w:t>
      </w:r>
      <w:r w:rsidR="00D41C8C">
        <w:rPr>
          <w:rFonts w:cs="Times New Roman"/>
          <w:i/>
          <w:szCs w:val="28"/>
        </w:rPr>
        <w:t>Ban Thường vụ Huyện ủy</w:t>
      </w:r>
      <w:r>
        <w:rPr>
          <w:rFonts w:cs="Times New Roman"/>
          <w:i/>
          <w:szCs w:val="28"/>
        </w:rPr>
        <w:t>)</w:t>
      </w:r>
    </w:p>
    <w:p w:rsidR="00D41C8C" w:rsidRDefault="00D41C8C" w:rsidP="00D41C8C">
      <w:pPr>
        <w:spacing w:after="0" w:line="240" w:lineRule="auto"/>
        <w:jc w:val="center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-----</w:t>
      </w:r>
    </w:p>
    <w:p w:rsidR="00D41C8C" w:rsidRDefault="00D41C8C" w:rsidP="00D41C8C">
      <w:pPr>
        <w:spacing w:after="0" w:line="240" w:lineRule="auto"/>
        <w:jc w:val="center"/>
        <w:rPr>
          <w:rFonts w:cs="Times New Roman"/>
          <w:i/>
          <w:szCs w:val="28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708"/>
        <w:gridCol w:w="3262"/>
        <w:gridCol w:w="3260"/>
        <w:gridCol w:w="2661"/>
      </w:tblGrid>
      <w:tr w:rsidR="00970F5C">
        <w:tc>
          <w:tcPr>
            <w:tcW w:w="708" w:type="dxa"/>
            <w:vAlign w:val="center"/>
          </w:tcPr>
          <w:p w:rsidR="00970F5C" w:rsidRDefault="00E928BA">
            <w:pPr>
              <w:spacing w:after="0" w:line="24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2" w:type="dxa"/>
            <w:vAlign w:val="center"/>
          </w:tcPr>
          <w:p w:rsidR="00970F5C" w:rsidRDefault="00E928BA">
            <w:pPr>
              <w:pStyle w:val="TOC1"/>
              <w:spacing w:after="0" w:line="24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Chỉ tiêu Nghị quyết số </w:t>
            </w:r>
            <w:r>
              <w:rPr>
                <w:rFonts w:cs="Times New Roman"/>
                <w:spacing w:val="4"/>
                <w:sz w:val="26"/>
                <w:szCs w:val="26"/>
              </w:rPr>
              <w:t>09/NQ-HU ngày 05/12/2023</w:t>
            </w:r>
            <w:r>
              <w:rPr>
                <w:rFonts w:cs="Times New Roman"/>
                <w:sz w:val="26"/>
                <w:szCs w:val="26"/>
              </w:rPr>
              <w:t xml:space="preserve"> của Huyện ủy về mục tiêu, nhiệm vụ phát triển </w:t>
            </w:r>
            <w:r>
              <w:rPr>
                <w:rFonts w:cs="Times New Roman"/>
                <w:sz w:val="26"/>
                <w:szCs w:val="26"/>
                <w:lang w:val="en-US"/>
              </w:rPr>
              <w:t>KT</w:t>
            </w:r>
            <w:r>
              <w:rPr>
                <w:rFonts w:cs="Times New Roman"/>
                <w:sz w:val="26"/>
                <w:szCs w:val="26"/>
              </w:rPr>
              <w:t xml:space="preserve"> - </w:t>
            </w:r>
            <w:r>
              <w:rPr>
                <w:rFonts w:cs="Times New Roman"/>
                <w:sz w:val="26"/>
                <w:szCs w:val="26"/>
                <w:lang w:val="en-US"/>
              </w:rPr>
              <w:t>XH</w:t>
            </w:r>
            <w:r>
              <w:rPr>
                <w:rFonts w:cs="Times New Roman"/>
                <w:sz w:val="26"/>
                <w:szCs w:val="26"/>
              </w:rPr>
              <w:t>, bảo đảm quốc phòng - an ninh năm 2024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after="0" w:line="240" w:lineRule="auto"/>
              <w:jc w:val="center"/>
              <w:rPr>
                <w:rFonts w:cs="Times New Roman"/>
                <w:b/>
                <w:sz w:val="26"/>
                <w:szCs w:val="26"/>
                <w:lang w:val="it-IT"/>
              </w:rPr>
            </w:pPr>
            <w:r>
              <w:rPr>
                <w:rFonts w:cs="Times New Roman"/>
                <w:b/>
                <w:sz w:val="26"/>
                <w:szCs w:val="26"/>
                <w:lang w:val="it-IT"/>
              </w:rPr>
              <w:t>Kết quả ước đạt đến ngày 31/3/2024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after="0" w:line="240" w:lineRule="auto"/>
              <w:jc w:val="center"/>
              <w:rPr>
                <w:rFonts w:cs="Times New Roman"/>
                <w:b/>
                <w:sz w:val="26"/>
                <w:szCs w:val="26"/>
                <w:lang w:val="it-IT"/>
              </w:rPr>
            </w:pPr>
            <w:r>
              <w:rPr>
                <w:rFonts w:cs="Times New Roman"/>
                <w:b/>
                <w:sz w:val="26"/>
                <w:szCs w:val="26"/>
                <w:lang w:val="it-IT"/>
              </w:rPr>
              <w:t>Tỷ lệ % đạt so Nghị quyết</w:t>
            </w:r>
          </w:p>
        </w:tc>
      </w:tr>
      <w:tr w:rsidR="009851CE">
        <w:tc>
          <w:tcPr>
            <w:tcW w:w="708" w:type="dxa"/>
            <w:vAlign w:val="center"/>
          </w:tcPr>
          <w:p w:rsidR="009851CE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</w:p>
        </w:tc>
        <w:tc>
          <w:tcPr>
            <w:tcW w:w="3262" w:type="dxa"/>
          </w:tcPr>
          <w:p w:rsidR="009851CE" w:rsidRDefault="009851CE">
            <w:pPr>
              <w:spacing w:before="120" w:after="120" w:line="240" w:lineRule="auto"/>
              <w:jc w:val="both"/>
              <w:rPr>
                <w:rFonts w:cs="Times New Roman"/>
                <w:szCs w:val="28"/>
              </w:rPr>
            </w:pPr>
            <w:r w:rsidRPr="009851CE">
              <w:rPr>
                <w:rFonts w:cs="Times New Roman"/>
                <w:szCs w:val="28"/>
              </w:rPr>
              <w:t>Tổng giá trị sản xuất (GO) theo giá so sánh phấn đấu đạt 4.270.260 triệu đồng, trong đó: nông nghiệp - lâm nghiệp - thuỷ sản 2.019.112,4 triệu đồng; công nghiệp - xây dựng 914.488,9 triệu đồng, thương mại, dịch vụ 1.336.658,7 triệu đồng;</w:t>
            </w:r>
          </w:p>
        </w:tc>
        <w:tc>
          <w:tcPr>
            <w:tcW w:w="3260" w:type="dxa"/>
            <w:vAlign w:val="center"/>
          </w:tcPr>
          <w:p w:rsidR="009851CE" w:rsidRDefault="009851CE" w:rsidP="009851CE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2661" w:type="dxa"/>
            <w:vAlign w:val="center"/>
          </w:tcPr>
          <w:p w:rsidR="009851CE" w:rsidRDefault="009851CE" w:rsidP="009851CE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%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Tổng thu ngân sách nhà nước do huyện thu 83.000 triệu đồng; trong đó, thuế phí 37.000 triệu đồng, thu từ nhà đất 36.500 triệu đồng, thu khác ngân sách 9.500 triệu đồng.</w:t>
            </w:r>
          </w:p>
        </w:tc>
        <w:tc>
          <w:tcPr>
            <w:tcW w:w="3260" w:type="dxa"/>
            <w:vAlign w:val="center"/>
          </w:tcPr>
          <w:p w:rsidR="00970F5C" w:rsidRDefault="00E928BA" w:rsidP="009851CE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Tổng thu ngân sách nhà nước do huyện thu </w:t>
            </w:r>
            <w:r w:rsidR="009851CE">
              <w:rPr>
                <w:rFonts w:cs="Times New Roman"/>
                <w:szCs w:val="28"/>
              </w:rPr>
              <w:t>18.264</w:t>
            </w:r>
            <w:r>
              <w:rPr>
                <w:rFonts w:cs="Times New Roman"/>
                <w:szCs w:val="28"/>
              </w:rPr>
              <w:t xml:space="preserve"> triệu đồng; trong đó, thuế phí </w:t>
            </w:r>
            <w:r w:rsidR="009851CE">
              <w:rPr>
                <w:rFonts w:cs="Times New Roman"/>
                <w:szCs w:val="28"/>
              </w:rPr>
              <w:t>9.293</w:t>
            </w:r>
            <w:r>
              <w:rPr>
                <w:rFonts w:cs="Times New Roman"/>
                <w:szCs w:val="28"/>
              </w:rPr>
              <w:t xml:space="preserve"> triệu đồng, thu từ nhà đất </w:t>
            </w:r>
            <w:r w:rsidR="009851CE">
              <w:rPr>
                <w:rFonts w:cs="Times New Roman"/>
                <w:szCs w:val="28"/>
              </w:rPr>
              <w:t>7.324</w:t>
            </w:r>
            <w:r>
              <w:rPr>
                <w:rFonts w:cs="Times New Roman"/>
                <w:szCs w:val="28"/>
              </w:rPr>
              <w:t xml:space="preserve"> triệu đồng, thu khác ngân sách </w:t>
            </w:r>
            <w:r w:rsidR="009851CE">
              <w:rPr>
                <w:rFonts w:cs="Times New Roman"/>
                <w:szCs w:val="28"/>
              </w:rPr>
              <w:t>1.646</w:t>
            </w:r>
            <w:r>
              <w:rPr>
                <w:rFonts w:cs="Times New Roman"/>
                <w:szCs w:val="28"/>
              </w:rPr>
              <w:t xml:space="preserve"> triệu đồng.</w:t>
            </w:r>
          </w:p>
        </w:tc>
        <w:tc>
          <w:tcPr>
            <w:tcW w:w="2661" w:type="dxa"/>
            <w:vAlign w:val="center"/>
          </w:tcPr>
          <w:p w:rsidR="00970F5C" w:rsidRDefault="00E928BA" w:rsidP="009851CE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Tổng huyện thu đạt </w:t>
            </w:r>
            <w:r w:rsidR="009851CE">
              <w:rPr>
                <w:rFonts w:cs="Times New Roman"/>
                <w:szCs w:val="28"/>
              </w:rPr>
              <w:t>23</w:t>
            </w:r>
            <w:r>
              <w:rPr>
                <w:rFonts w:cs="Times New Roman"/>
                <w:szCs w:val="28"/>
              </w:rPr>
              <w:t xml:space="preserve">%; trong đó, thuế phí </w:t>
            </w:r>
            <w:r w:rsidR="009851CE">
              <w:rPr>
                <w:rFonts w:cs="Times New Roman"/>
                <w:szCs w:val="28"/>
              </w:rPr>
              <w:t>25</w:t>
            </w:r>
            <w:r>
              <w:rPr>
                <w:rFonts w:cs="Times New Roman"/>
                <w:szCs w:val="28"/>
              </w:rPr>
              <w:t xml:space="preserve">%, thu từ nhà đất </w:t>
            </w:r>
            <w:r w:rsidR="009851CE">
              <w:rPr>
                <w:rFonts w:cs="Times New Roman"/>
                <w:szCs w:val="28"/>
              </w:rPr>
              <w:t>21</w:t>
            </w:r>
            <w:r>
              <w:rPr>
                <w:rFonts w:cs="Times New Roman"/>
                <w:szCs w:val="28"/>
              </w:rPr>
              <w:t xml:space="preserve">%, thu khác ngân sách </w:t>
            </w:r>
            <w:r w:rsidR="009851CE">
              <w:rPr>
                <w:rFonts w:cs="Times New Roman"/>
                <w:szCs w:val="28"/>
              </w:rPr>
              <w:t>21</w:t>
            </w:r>
            <w:r>
              <w:rPr>
                <w:rFonts w:cs="Times New Roman"/>
                <w:szCs w:val="28"/>
              </w:rPr>
              <w:t>%</w:t>
            </w:r>
            <w:r w:rsidR="009851CE">
              <w:rPr>
                <w:rFonts w:cs="Times New Roman"/>
                <w:szCs w:val="28"/>
              </w:rPr>
              <w:t xml:space="preserve"> </w:t>
            </w:r>
            <w:r w:rsidR="009851CE" w:rsidRPr="009851CE">
              <w:rPr>
                <w:rFonts w:cs="Times New Roman"/>
                <w:i/>
                <w:szCs w:val="28"/>
              </w:rPr>
              <w:t>(kế hoạch pháp lệnh)</w:t>
            </w:r>
            <w:r w:rsidRPr="009851CE">
              <w:rPr>
                <w:rFonts w:cs="Times New Roman"/>
                <w:i/>
                <w:szCs w:val="28"/>
              </w:rPr>
              <w:t>.</w:t>
            </w:r>
          </w:p>
        </w:tc>
      </w:tr>
      <w:tr w:rsidR="009851CE">
        <w:tc>
          <w:tcPr>
            <w:tcW w:w="708" w:type="dxa"/>
            <w:vAlign w:val="center"/>
          </w:tcPr>
          <w:p w:rsidR="009851CE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</w:p>
        </w:tc>
        <w:tc>
          <w:tcPr>
            <w:tcW w:w="3262" w:type="dxa"/>
          </w:tcPr>
          <w:p w:rsidR="009851CE" w:rsidRDefault="009851CE">
            <w:pPr>
              <w:spacing w:before="120" w:after="120" w:line="240" w:lineRule="auto"/>
              <w:jc w:val="both"/>
              <w:rPr>
                <w:rFonts w:cs="Times New Roman"/>
                <w:szCs w:val="28"/>
                <w:lang w:val="nl-NL"/>
              </w:rPr>
            </w:pPr>
            <w:r w:rsidRPr="009851CE">
              <w:rPr>
                <w:rFonts w:cs="Times New Roman"/>
                <w:szCs w:val="28"/>
                <w:lang w:val="nl-NL"/>
              </w:rPr>
              <w:t>Tổng vốn đầu tư toàn xã hội phấn đấu đạt 1.925.100 triệu đồng;</w:t>
            </w:r>
          </w:p>
        </w:tc>
        <w:tc>
          <w:tcPr>
            <w:tcW w:w="3260" w:type="dxa"/>
            <w:vAlign w:val="center"/>
          </w:tcPr>
          <w:p w:rsidR="009851CE" w:rsidRDefault="009851CE">
            <w:pPr>
              <w:spacing w:before="120" w:after="120" w:line="240" w:lineRule="auto"/>
              <w:rPr>
                <w:rFonts w:cs="Times New Roman"/>
                <w:szCs w:val="28"/>
                <w:lang w:val="nl-NL"/>
              </w:rPr>
            </w:pPr>
          </w:p>
        </w:tc>
        <w:tc>
          <w:tcPr>
            <w:tcW w:w="2661" w:type="dxa"/>
            <w:vAlign w:val="center"/>
          </w:tcPr>
          <w:p w:rsidR="009851CE" w:rsidRDefault="009851CE">
            <w:pPr>
              <w:spacing w:before="120" w:after="120" w:line="240" w:lineRule="auto"/>
              <w:jc w:val="center"/>
              <w:rPr>
                <w:rFonts w:cs="Times New Roman"/>
                <w:szCs w:val="28"/>
                <w:lang w:val="nl-NL"/>
              </w:rPr>
            </w:pPr>
            <w:r>
              <w:rPr>
                <w:rFonts w:cs="Times New Roman"/>
                <w:szCs w:val="28"/>
                <w:lang w:val="nl-NL"/>
              </w:rPr>
              <w:t>%</w:t>
            </w:r>
          </w:p>
        </w:tc>
      </w:tr>
      <w:tr w:rsidR="009851CE">
        <w:tc>
          <w:tcPr>
            <w:tcW w:w="708" w:type="dxa"/>
            <w:vAlign w:val="center"/>
          </w:tcPr>
          <w:p w:rsidR="009851CE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</w:t>
            </w:r>
          </w:p>
        </w:tc>
        <w:tc>
          <w:tcPr>
            <w:tcW w:w="3262" w:type="dxa"/>
          </w:tcPr>
          <w:p w:rsidR="009851CE" w:rsidRDefault="009851CE">
            <w:pPr>
              <w:spacing w:before="120" w:after="120" w:line="240" w:lineRule="auto"/>
              <w:jc w:val="both"/>
              <w:rPr>
                <w:rFonts w:cs="Times New Roman"/>
                <w:szCs w:val="28"/>
                <w:lang w:val="nl-NL"/>
              </w:rPr>
            </w:pPr>
            <w:r w:rsidRPr="009851CE">
              <w:rPr>
                <w:rFonts w:cs="Times New Roman"/>
                <w:szCs w:val="28"/>
                <w:lang w:val="nl-NL"/>
              </w:rPr>
              <w:t>Tổng sản lượng lương thực đạt trên 17.898 tấn</w:t>
            </w:r>
          </w:p>
        </w:tc>
        <w:tc>
          <w:tcPr>
            <w:tcW w:w="3260" w:type="dxa"/>
            <w:vAlign w:val="center"/>
          </w:tcPr>
          <w:p w:rsidR="009851CE" w:rsidRDefault="009851CE">
            <w:pPr>
              <w:spacing w:before="120" w:after="120" w:line="240" w:lineRule="auto"/>
              <w:rPr>
                <w:rFonts w:cs="Times New Roman"/>
                <w:szCs w:val="28"/>
                <w:lang w:val="nl-NL"/>
              </w:rPr>
            </w:pPr>
          </w:p>
        </w:tc>
        <w:tc>
          <w:tcPr>
            <w:tcW w:w="2661" w:type="dxa"/>
            <w:vAlign w:val="center"/>
          </w:tcPr>
          <w:p w:rsidR="009851CE" w:rsidRDefault="009851CE">
            <w:pPr>
              <w:spacing w:before="120" w:after="120" w:line="240" w:lineRule="auto"/>
              <w:jc w:val="center"/>
              <w:rPr>
                <w:rFonts w:cs="Times New Roman"/>
                <w:szCs w:val="28"/>
                <w:lang w:val="nl-NL"/>
              </w:rPr>
            </w:pPr>
            <w:r>
              <w:rPr>
                <w:rFonts w:cs="Times New Roman"/>
                <w:szCs w:val="28"/>
                <w:lang w:val="nl-NL"/>
              </w:rPr>
              <w:t>%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  <w:lang w:val="pl-PL"/>
              </w:rPr>
            </w:pPr>
            <w:r>
              <w:rPr>
                <w:rFonts w:cs="Times New Roman"/>
                <w:szCs w:val="28"/>
                <w:lang w:val="nl-NL"/>
              </w:rPr>
              <w:t>Tỷ lệ hộ được nghe đài truyền thanh và xem truyền hình đạt trên 98,5%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  <w:lang w:val="pl-PL"/>
              </w:rPr>
            </w:pPr>
            <w:r>
              <w:rPr>
                <w:rFonts w:cs="Times New Roman"/>
                <w:szCs w:val="28"/>
                <w:lang w:val="nl-NL"/>
              </w:rPr>
              <w:t>Tỷ lệ hộ được nghe đài truyền thanh và xem truyền hình ước đạt trên 98,5%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cs="Times New Roman"/>
                <w:szCs w:val="28"/>
                <w:lang w:val="pl-PL"/>
              </w:rPr>
            </w:pPr>
            <w:r>
              <w:rPr>
                <w:rFonts w:cs="Times New Roman"/>
                <w:szCs w:val="28"/>
                <w:lang w:val="nl-NL"/>
              </w:rPr>
              <w:t>Đạt 100%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6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Giảm tỷ lệ tăng dân số tự nhiên xuống dưới 1,3%;</w:t>
            </w:r>
          </w:p>
        </w:tc>
        <w:tc>
          <w:tcPr>
            <w:tcW w:w="3260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pacing w:val="-8"/>
                <w:szCs w:val="28"/>
                <w:lang w:val="pl-PL"/>
              </w:rPr>
            </w:pPr>
            <w:r>
              <w:rPr>
                <w:rFonts w:cs="Times New Roman"/>
                <w:szCs w:val="28"/>
                <w:lang w:val="nl-NL"/>
              </w:rPr>
              <w:t>tỷ lệ tăng dân số tự nhiên còn xuống 1,36%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cs="Times New Roman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95,6%, Chưa đạt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</w:t>
            </w:r>
          </w:p>
        </w:tc>
        <w:tc>
          <w:tcPr>
            <w:tcW w:w="3262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Tạo việc làm mới cho khoảng 1.500 lao động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  <w:lang w:val="pl-PL"/>
              </w:rPr>
            </w:pPr>
            <w:r>
              <w:rPr>
                <w:rFonts w:cs="Times New Roman"/>
                <w:szCs w:val="28"/>
                <w:lang w:val="pl-PL"/>
              </w:rPr>
              <w:t>Tạo việc làm mới cho 400 lao động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cs="Times New Roman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Bằng 26,7% so NQ; chưa đạt, nhưng hoàn thành ở mức trung bình khá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8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  <w:lang w:val="nl-NL"/>
              </w:rPr>
            </w:pPr>
            <w:r>
              <w:rPr>
                <w:rStyle w:val="Bodytext"/>
                <w:rFonts w:ascii="Times New Roman" w:eastAsia="Courier New" w:hAnsi="Times New Roman"/>
                <w:spacing w:val="-4"/>
                <w:sz w:val="28"/>
                <w:szCs w:val="28"/>
                <w:lang w:val="pl-PL"/>
              </w:rPr>
              <w:t xml:space="preserve">Giảm tỷ lệ trẻ em dưới 5 tuổi suy dinh dưỡng </w:t>
            </w:r>
            <w:r>
              <w:rPr>
                <w:rStyle w:val="Bodytext"/>
                <w:rFonts w:ascii="Times New Roman" w:eastAsia="Courier New" w:hAnsi="Times New Roman"/>
                <w:i/>
                <w:iCs/>
                <w:spacing w:val="-4"/>
                <w:sz w:val="28"/>
                <w:szCs w:val="28"/>
                <w:lang w:val="pl-PL"/>
              </w:rPr>
              <w:t>(thể thấp còi)</w:t>
            </w:r>
            <w:r>
              <w:rPr>
                <w:rStyle w:val="Bodytext"/>
                <w:rFonts w:ascii="Times New Roman" w:eastAsia="Courier New" w:hAnsi="Times New Roman"/>
                <w:spacing w:val="-4"/>
                <w:sz w:val="28"/>
                <w:szCs w:val="28"/>
                <w:lang w:val="pl-PL"/>
              </w:rPr>
              <w:t xml:space="preserve"> xuống 21,</w:t>
            </w:r>
            <w:r>
              <w:rPr>
                <w:rStyle w:val="Bodytext"/>
                <w:rFonts w:ascii="Times New Roman" w:eastAsia="Courier New" w:hAnsi="Times New Roman"/>
                <w:spacing w:val="-4"/>
                <w:sz w:val="28"/>
                <w:szCs w:val="28"/>
              </w:rPr>
              <w:t>45</w:t>
            </w:r>
            <w:r>
              <w:rPr>
                <w:rStyle w:val="Bodytext"/>
                <w:rFonts w:ascii="Times New Roman" w:eastAsia="Courier New" w:hAnsi="Times New Roman"/>
                <w:spacing w:val="-4"/>
                <w:sz w:val="28"/>
                <w:szCs w:val="28"/>
                <w:lang w:val="pl-PL"/>
              </w:rPr>
              <w:t>%;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  <w:lang w:val="nl-NL"/>
              </w:rPr>
            </w:pPr>
            <w:r>
              <w:rPr>
                <w:rFonts w:cs="Times New Roman"/>
                <w:szCs w:val="28"/>
                <w:lang w:val="nl-NL"/>
              </w:rPr>
              <w:t xml:space="preserve">Đánh giá vào tháng 6 hàng năm </w:t>
            </w:r>
            <w:r>
              <w:rPr>
                <w:rFonts w:cs="Times New Roman"/>
                <w:i/>
                <w:szCs w:val="28"/>
                <w:lang w:val="nl-NL"/>
              </w:rPr>
              <w:t>(đầu năm là 22%)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cs="Times New Roman"/>
                <w:szCs w:val="28"/>
                <w:lang w:val="nl-NL"/>
              </w:rPr>
            </w:pPr>
            <w:r>
              <w:rPr>
                <w:rStyle w:val="Bodytext"/>
                <w:rFonts w:ascii="Times New Roman" w:eastAsia="Courier New" w:hAnsi="Times New Roman"/>
                <w:spacing w:val="-4"/>
                <w:sz w:val="28"/>
                <w:szCs w:val="28"/>
                <w:lang w:val="pl-PL"/>
              </w:rPr>
              <w:t>97,5%, chưa đạt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9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eastAsia="Courier New" w:cs="Times New Roman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Tỷ lệ tham gia bảo hiểm y tế toàn dân trên 93</w:t>
            </w: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</w:rPr>
              <w:t>,65</w:t>
            </w: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%;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Tỷ lệ tham gia bảo hiểm y tế toàn dân đạt 86,41%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eastAsia="Courier New" w:cs="Times New Roman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92,3%, chưa đạt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Tỷ lệ số hộ dân được sử dụng điện trên 99</w:t>
            </w: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</w:rPr>
              <w:t>,2</w:t>
            </w: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%;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i/>
                <w:iCs/>
                <w:szCs w:val="28"/>
                <w:lang w:val="nl-NL"/>
              </w:rPr>
            </w:pPr>
            <w:r>
              <w:rPr>
                <w:rFonts w:cs="Times New Roman"/>
                <w:szCs w:val="28"/>
                <w:lang w:val="nl-NL"/>
              </w:rPr>
              <w:t>Tỷ lệ số hộ dân được sử dụng điện ước đạt 99%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99,8%, chưa đạt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szCs w:val="28"/>
              </w:rPr>
              <w:t>Giữ vững 96,2% (51/53) thôn đạt chuẩn thôn văn hóa; phấn đấu đạt từ 95% cơ quan, đơn vị đạt chuẩn văn hóa; phấn đấu 85,5% hộ gia đình đạt chuẩn văn hóa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H</w:t>
            </w:r>
            <w:r>
              <w:rPr>
                <w:szCs w:val="28"/>
              </w:rPr>
              <w:t>iện có 51/53 thôn đạt chuẩn thôn văn hóa (96,2%); có 95,4% cơ quan, đơn vị đạt chuẩn văn hóa; 88,4% hộ gia đình đạt chuẩn văn hóa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 xml:space="preserve">Tỷ lệ thực hiện như sau: Thôn đạt chuẩn văn hóa thực hiện 100% so NQ; cơ quan, đơn vị đạt chuẩn văn hóa thực hiện 100,4% so NQ; </w:t>
            </w:r>
            <w:r>
              <w:rPr>
                <w:szCs w:val="28"/>
                <w:lang w:val="pl-PL"/>
              </w:rPr>
              <w:t>hộ gia đình đạt chuẩn văn hóa thực hiện 103,4% so NQ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eastAsia="Courier New" w:cs="Times New Roman"/>
                <w:szCs w:val="28"/>
              </w:rPr>
            </w:pPr>
            <w:r>
              <w:rPr>
                <w:szCs w:val="28"/>
              </w:rPr>
              <w:t xml:space="preserve">Có 31/36 trường đạt chuẩn Quốc gia, đạt tỷ lệ 86% </w:t>
            </w:r>
            <w:r>
              <w:rPr>
                <w:i/>
                <w:iCs/>
                <w:szCs w:val="28"/>
              </w:rPr>
              <w:t>(tăng thêm 02 trường đạt chuẩn quốc gia so với năm 2023)</w:t>
            </w:r>
            <w:r>
              <w:rPr>
                <w:szCs w:val="28"/>
              </w:rPr>
              <w:t xml:space="preserve">; gồm: 29/32 trường MN, TH, THCS đạt chuẩn, đạt tỉ lệ 90,6% </w:t>
            </w:r>
            <w:r>
              <w:rPr>
                <w:i/>
                <w:iCs/>
                <w:szCs w:val="28"/>
              </w:rPr>
              <w:t>(tăng thêm trường THCS Đạ K’Nàng)</w:t>
            </w:r>
            <w:r>
              <w:rPr>
                <w:szCs w:val="28"/>
              </w:rPr>
              <w:t xml:space="preserve">; 2/4 trường THPT đạt chuẩn, đạt tỷ lệ 50% </w:t>
            </w:r>
            <w:r>
              <w:rPr>
                <w:i/>
                <w:iCs/>
                <w:szCs w:val="28"/>
              </w:rPr>
              <w:t>(tăng thêm trường THPT Phan Đình Phùng)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szCs w:val="28"/>
              </w:rPr>
              <w:t xml:space="preserve">Có 31/36 trường đạt chuẩn Quốc gia, đạt tỷ lệ 86% </w:t>
            </w:r>
            <w:r>
              <w:rPr>
                <w:i/>
                <w:iCs/>
                <w:szCs w:val="28"/>
              </w:rPr>
              <w:t>(tăng thêm 02 trường đạt chuẩn quốc gia so với năm 2023)</w:t>
            </w:r>
            <w:r>
              <w:rPr>
                <w:szCs w:val="28"/>
              </w:rPr>
              <w:t xml:space="preserve">; gồm: 29/32 trường MN, TH, THCS đạt chuẩn, đạt tỉ lệ 90,6% </w:t>
            </w:r>
            <w:r>
              <w:rPr>
                <w:i/>
                <w:iCs/>
                <w:szCs w:val="28"/>
              </w:rPr>
              <w:t>(tăng thêm trường THCS Đạ K’Nàng)</w:t>
            </w:r>
            <w:r>
              <w:rPr>
                <w:szCs w:val="28"/>
              </w:rPr>
              <w:t xml:space="preserve">; 2/4 trường THPT đạt chuẩn, đạt tỷ lệ 50% </w:t>
            </w:r>
            <w:r>
              <w:rPr>
                <w:i/>
                <w:iCs/>
                <w:szCs w:val="28"/>
              </w:rPr>
              <w:t>(tăng thêm trường THPT Phan Đình Phùng)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eastAsia="Courier New" w:cs="Times New Roman"/>
                <w:szCs w:val="28"/>
              </w:rPr>
            </w:pPr>
            <w:r>
              <w:rPr>
                <w:rStyle w:val="Bodytext"/>
                <w:rFonts w:ascii="Times New Roman" w:eastAsia="Courier New" w:hAnsi="Times New Roman"/>
                <w:spacing w:val="0"/>
                <w:sz w:val="28"/>
                <w:szCs w:val="28"/>
                <w:lang w:val="pl-PL"/>
              </w:rPr>
              <w:t>Đạt 100% so với Nghị quyết đề ra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13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Duy trì độ che phủ rừng 63,67% trở lên.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nl-NL"/>
              </w:rPr>
              <w:t xml:space="preserve">Đầu năm 2024 là </w:t>
            </w:r>
            <w:r>
              <w:rPr>
                <w:rFonts w:cs="Times New Roman"/>
                <w:szCs w:val="28"/>
              </w:rPr>
              <w:t>63,61</w:t>
            </w:r>
            <w:r>
              <w:rPr>
                <w:rFonts w:cs="Times New Roman"/>
                <w:szCs w:val="28"/>
                <w:lang w:val="nl-NL"/>
              </w:rPr>
              <w:t>%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Đạt 99,9% so NQ</w:t>
            </w:r>
          </w:p>
        </w:tc>
      </w:tr>
      <w:tr w:rsidR="00970F5C">
        <w:tc>
          <w:tcPr>
            <w:tcW w:w="708" w:type="dxa"/>
            <w:vAlign w:val="center"/>
          </w:tcPr>
          <w:p w:rsidR="00970F5C" w:rsidRDefault="00E928BA" w:rsidP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  <w:r w:rsidR="009851CE">
              <w:rPr>
                <w:rFonts w:cs="Times New Roman"/>
                <w:szCs w:val="28"/>
              </w:rPr>
              <w:t>4</w:t>
            </w:r>
          </w:p>
        </w:tc>
        <w:tc>
          <w:tcPr>
            <w:tcW w:w="3262" w:type="dxa"/>
          </w:tcPr>
          <w:p w:rsidR="00970F5C" w:rsidRDefault="00E928BA">
            <w:pPr>
              <w:spacing w:before="120" w:after="12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szCs w:val="28"/>
              </w:rPr>
              <w:t>Tỷ lệ hộ dân được sử dụng nước sinh hoạt hợp vệ sinh đạt trên 93,5%</w:t>
            </w:r>
          </w:p>
        </w:tc>
        <w:tc>
          <w:tcPr>
            <w:tcW w:w="3260" w:type="dxa"/>
            <w:vAlign w:val="center"/>
          </w:tcPr>
          <w:p w:rsidR="00970F5C" w:rsidRDefault="00E928BA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szCs w:val="28"/>
              </w:rPr>
              <w:t>Tỷ lệ hộ dân được sử dụng nước sinh hoạt hợp vệ sinh đạt trên 93,5%</w:t>
            </w:r>
          </w:p>
        </w:tc>
        <w:tc>
          <w:tcPr>
            <w:tcW w:w="2661" w:type="dxa"/>
            <w:vAlign w:val="center"/>
          </w:tcPr>
          <w:p w:rsidR="00970F5C" w:rsidRDefault="00E928BA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Đạt 100% so NQ</w:t>
            </w:r>
          </w:p>
        </w:tc>
      </w:tr>
      <w:tr w:rsidR="009851CE">
        <w:tc>
          <w:tcPr>
            <w:tcW w:w="708" w:type="dxa"/>
            <w:vAlign w:val="center"/>
          </w:tcPr>
          <w:p w:rsidR="009851CE" w:rsidRDefault="009851CE" w:rsidP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15</w:t>
            </w:r>
          </w:p>
        </w:tc>
        <w:tc>
          <w:tcPr>
            <w:tcW w:w="3262" w:type="dxa"/>
          </w:tcPr>
          <w:p w:rsidR="009851CE" w:rsidRDefault="009851CE">
            <w:pPr>
              <w:spacing w:before="120" w:after="120" w:line="240" w:lineRule="auto"/>
              <w:jc w:val="both"/>
              <w:rPr>
                <w:szCs w:val="28"/>
              </w:rPr>
            </w:pPr>
            <w:r w:rsidRPr="009851CE">
              <w:rPr>
                <w:szCs w:val="28"/>
              </w:rPr>
              <w:t>Có thêm 02 xã đạt chuẩn nông thôn mới (xã Đạ Long và xã Liêng Srônh); 01 xã đạt chuẩn nông thôn mới nâng cao (xã Đạ K’Nàng). Cơ bản hoàn thành các tiêu chí huyện nông thôn mới</w:t>
            </w:r>
          </w:p>
        </w:tc>
        <w:tc>
          <w:tcPr>
            <w:tcW w:w="3260" w:type="dxa"/>
            <w:vAlign w:val="center"/>
          </w:tcPr>
          <w:p w:rsidR="009851CE" w:rsidRDefault="009851CE">
            <w:pPr>
              <w:spacing w:before="120" w:after="120" w:line="240" w:lineRule="auto"/>
              <w:rPr>
                <w:szCs w:val="28"/>
              </w:rPr>
            </w:pPr>
          </w:p>
        </w:tc>
        <w:tc>
          <w:tcPr>
            <w:tcW w:w="2661" w:type="dxa"/>
            <w:vAlign w:val="center"/>
          </w:tcPr>
          <w:p w:rsidR="009851CE" w:rsidRDefault="009851CE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Cuối năm đánh giá</w:t>
            </w:r>
          </w:p>
        </w:tc>
      </w:tr>
      <w:tr w:rsidR="009851CE">
        <w:tc>
          <w:tcPr>
            <w:tcW w:w="708" w:type="dxa"/>
            <w:vAlign w:val="center"/>
          </w:tcPr>
          <w:p w:rsidR="009851CE" w:rsidRDefault="00201A4C" w:rsidP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16</w:t>
            </w:r>
          </w:p>
        </w:tc>
        <w:tc>
          <w:tcPr>
            <w:tcW w:w="3262" w:type="dxa"/>
          </w:tcPr>
          <w:p w:rsidR="009851CE" w:rsidRDefault="00201A4C">
            <w:pPr>
              <w:spacing w:before="120" w:after="120" w:line="240" w:lineRule="auto"/>
              <w:jc w:val="both"/>
              <w:rPr>
                <w:szCs w:val="28"/>
              </w:rPr>
            </w:pPr>
            <w:r w:rsidRPr="00201A4C">
              <w:rPr>
                <w:szCs w:val="28"/>
              </w:rPr>
              <w:t>Tỷ lệ nghèo đa chiều giảm từ 3 - 4% (trong đó: Hộ nghèo giảm từ 01 - 1,5%, hộ cận nghèo từ 2 - 2,5%);</w:t>
            </w:r>
          </w:p>
        </w:tc>
        <w:tc>
          <w:tcPr>
            <w:tcW w:w="3260" w:type="dxa"/>
            <w:vAlign w:val="center"/>
          </w:tcPr>
          <w:p w:rsidR="009851CE" w:rsidRDefault="009851CE">
            <w:pPr>
              <w:spacing w:before="120" w:after="120" w:line="240" w:lineRule="auto"/>
              <w:rPr>
                <w:szCs w:val="28"/>
              </w:rPr>
            </w:pPr>
          </w:p>
        </w:tc>
        <w:tc>
          <w:tcPr>
            <w:tcW w:w="2661" w:type="dxa"/>
            <w:vAlign w:val="center"/>
          </w:tcPr>
          <w:p w:rsidR="009851CE" w:rsidRDefault="00201A4C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201A4C">
              <w:rPr>
                <w:rFonts w:cs="Times New Roman"/>
                <w:szCs w:val="28"/>
              </w:rPr>
              <w:t>Cuối năm đánh giá</w:t>
            </w:r>
          </w:p>
        </w:tc>
      </w:tr>
      <w:tr w:rsidR="00201A4C">
        <w:tc>
          <w:tcPr>
            <w:tcW w:w="708" w:type="dxa"/>
            <w:vAlign w:val="center"/>
          </w:tcPr>
          <w:p w:rsidR="00201A4C" w:rsidRDefault="00201A4C" w:rsidP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17</w:t>
            </w:r>
          </w:p>
        </w:tc>
        <w:tc>
          <w:tcPr>
            <w:tcW w:w="3262" w:type="dxa"/>
          </w:tcPr>
          <w:p w:rsidR="00201A4C" w:rsidRPr="00201A4C" w:rsidRDefault="00201A4C">
            <w:pPr>
              <w:spacing w:before="120" w:after="120" w:line="240" w:lineRule="auto"/>
              <w:jc w:val="both"/>
              <w:rPr>
                <w:szCs w:val="28"/>
              </w:rPr>
            </w:pPr>
            <w:r w:rsidRPr="00201A4C">
              <w:rPr>
                <w:szCs w:val="28"/>
              </w:rPr>
              <w:t>Đảng bộ huyện hoàn thành tốt nhiệm vụ trở lên; 80% tổ chức cơ sở đảng, tập thể lãnh đạo, quản lý các cấp hoàn thành tốt nhiệm vụ trở lên; trên 80% đảng viên hoàn thành tốt nhiệm vụ; kết nạp 70 đảng viên trở lên;</w:t>
            </w:r>
          </w:p>
        </w:tc>
        <w:tc>
          <w:tcPr>
            <w:tcW w:w="3260" w:type="dxa"/>
            <w:vAlign w:val="center"/>
          </w:tcPr>
          <w:p w:rsidR="00201A4C" w:rsidRDefault="00201A4C">
            <w:pPr>
              <w:spacing w:before="120" w:after="120" w:line="240" w:lineRule="auto"/>
              <w:rPr>
                <w:szCs w:val="28"/>
              </w:rPr>
            </w:pPr>
          </w:p>
        </w:tc>
        <w:tc>
          <w:tcPr>
            <w:tcW w:w="2661" w:type="dxa"/>
            <w:vAlign w:val="center"/>
          </w:tcPr>
          <w:p w:rsidR="00201A4C" w:rsidRPr="00201A4C" w:rsidRDefault="00201A4C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201A4C">
              <w:rPr>
                <w:rFonts w:cs="Times New Roman"/>
                <w:szCs w:val="28"/>
              </w:rPr>
              <w:t>Cuối năm đánh giá</w:t>
            </w:r>
          </w:p>
        </w:tc>
      </w:tr>
      <w:tr w:rsidR="00201A4C">
        <w:tc>
          <w:tcPr>
            <w:tcW w:w="708" w:type="dxa"/>
            <w:vAlign w:val="center"/>
          </w:tcPr>
          <w:p w:rsidR="00201A4C" w:rsidRDefault="00201A4C" w:rsidP="009851CE">
            <w:pPr>
              <w:spacing w:after="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18</w:t>
            </w:r>
          </w:p>
        </w:tc>
        <w:tc>
          <w:tcPr>
            <w:tcW w:w="3262" w:type="dxa"/>
          </w:tcPr>
          <w:p w:rsidR="00201A4C" w:rsidRPr="00201A4C" w:rsidRDefault="00201A4C">
            <w:pPr>
              <w:spacing w:before="120" w:after="120" w:line="240" w:lineRule="auto"/>
              <w:jc w:val="both"/>
              <w:rPr>
                <w:szCs w:val="28"/>
              </w:rPr>
            </w:pPr>
            <w:r w:rsidRPr="00201A4C">
              <w:rPr>
                <w:szCs w:val="28"/>
              </w:rPr>
              <w:t>Các đoàn thể chính trị - xã hội tập hợp đoàn viên, hội viên đạt 70% trở lên.</w:t>
            </w:r>
          </w:p>
        </w:tc>
        <w:tc>
          <w:tcPr>
            <w:tcW w:w="3260" w:type="dxa"/>
            <w:vAlign w:val="center"/>
          </w:tcPr>
          <w:p w:rsidR="00201A4C" w:rsidRDefault="00201A4C">
            <w:pPr>
              <w:spacing w:before="120" w:after="120" w:line="240" w:lineRule="auto"/>
              <w:rPr>
                <w:szCs w:val="28"/>
              </w:rPr>
            </w:pPr>
          </w:p>
        </w:tc>
        <w:tc>
          <w:tcPr>
            <w:tcW w:w="2661" w:type="dxa"/>
            <w:vAlign w:val="center"/>
          </w:tcPr>
          <w:p w:rsidR="00201A4C" w:rsidRPr="00201A4C" w:rsidRDefault="00201A4C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201A4C">
              <w:rPr>
                <w:rFonts w:cs="Times New Roman"/>
                <w:szCs w:val="28"/>
              </w:rPr>
              <w:t>Cuối năm đánh giá</w:t>
            </w:r>
          </w:p>
        </w:tc>
      </w:tr>
    </w:tbl>
    <w:p w:rsidR="00970F5C" w:rsidRDefault="00970F5C">
      <w:pPr>
        <w:rPr>
          <w:sz w:val="24"/>
          <w:szCs w:val="24"/>
        </w:rPr>
      </w:pPr>
    </w:p>
    <w:sectPr w:rsidR="00970F5C">
      <w:headerReference w:type="default" r:id="rId8"/>
      <w:pgSz w:w="11909" w:h="16834"/>
      <w:pgMar w:top="851" w:right="851" w:bottom="794" w:left="1701" w:header="39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C03" w:rsidRDefault="00831C03">
      <w:pPr>
        <w:spacing w:line="240" w:lineRule="auto"/>
      </w:pPr>
      <w:r>
        <w:separator/>
      </w:r>
    </w:p>
  </w:endnote>
  <w:endnote w:type="continuationSeparator" w:id="0">
    <w:p w:rsidR="00831C03" w:rsidRDefault="00831C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C03" w:rsidRDefault="00831C03">
      <w:pPr>
        <w:spacing w:after="0"/>
      </w:pPr>
      <w:r>
        <w:separator/>
      </w:r>
    </w:p>
  </w:footnote>
  <w:footnote w:type="continuationSeparator" w:id="0">
    <w:p w:rsidR="00831C03" w:rsidRDefault="00831C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0729531"/>
      <w:docPartObj>
        <w:docPartGallery w:val="AutoText"/>
      </w:docPartObj>
    </w:sdtPr>
    <w:sdtEndPr/>
    <w:sdtContent>
      <w:p w:rsidR="00970F5C" w:rsidRDefault="00E928B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5CBC">
          <w:rPr>
            <w:noProof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drawingGridHorizontalSpacing w:val="140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1F0"/>
    <w:rsid w:val="00012AA6"/>
    <w:rsid w:val="0004443A"/>
    <w:rsid w:val="00044BC8"/>
    <w:rsid w:val="0009687B"/>
    <w:rsid w:val="000F42E8"/>
    <w:rsid w:val="00102FA3"/>
    <w:rsid w:val="00154E0A"/>
    <w:rsid w:val="00160F12"/>
    <w:rsid w:val="001944C2"/>
    <w:rsid w:val="00197706"/>
    <w:rsid w:val="001A26CE"/>
    <w:rsid w:val="001C6A40"/>
    <w:rsid w:val="001D374D"/>
    <w:rsid w:val="001F37FF"/>
    <w:rsid w:val="00201A4C"/>
    <w:rsid w:val="00203BE2"/>
    <w:rsid w:val="00204378"/>
    <w:rsid w:val="00217D9D"/>
    <w:rsid w:val="002418CC"/>
    <w:rsid w:val="0025039B"/>
    <w:rsid w:val="00285DA3"/>
    <w:rsid w:val="0028677D"/>
    <w:rsid w:val="002A6A28"/>
    <w:rsid w:val="002E4F8B"/>
    <w:rsid w:val="003029BA"/>
    <w:rsid w:val="0032241E"/>
    <w:rsid w:val="00326F0D"/>
    <w:rsid w:val="00342847"/>
    <w:rsid w:val="00342E39"/>
    <w:rsid w:val="00357A52"/>
    <w:rsid w:val="003846A6"/>
    <w:rsid w:val="003C1256"/>
    <w:rsid w:val="003D5A19"/>
    <w:rsid w:val="003E6D48"/>
    <w:rsid w:val="003F0C31"/>
    <w:rsid w:val="003F3347"/>
    <w:rsid w:val="0040276E"/>
    <w:rsid w:val="00421B80"/>
    <w:rsid w:val="00473193"/>
    <w:rsid w:val="00476663"/>
    <w:rsid w:val="00497ABD"/>
    <w:rsid w:val="004A2C72"/>
    <w:rsid w:val="004C1426"/>
    <w:rsid w:val="004C222D"/>
    <w:rsid w:val="004F4D3F"/>
    <w:rsid w:val="005C2F22"/>
    <w:rsid w:val="005F47FF"/>
    <w:rsid w:val="006066C4"/>
    <w:rsid w:val="006109AD"/>
    <w:rsid w:val="006121F0"/>
    <w:rsid w:val="006141AA"/>
    <w:rsid w:val="006202B6"/>
    <w:rsid w:val="00630304"/>
    <w:rsid w:val="00675FEC"/>
    <w:rsid w:val="006B1B40"/>
    <w:rsid w:val="006B41D2"/>
    <w:rsid w:val="006B4B95"/>
    <w:rsid w:val="006B5CBC"/>
    <w:rsid w:val="006C690C"/>
    <w:rsid w:val="00703DEA"/>
    <w:rsid w:val="00706740"/>
    <w:rsid w:val="0073390A"/>
    <w:rsid w:val="00755B9D"/>
    <w:rsid w:val="00760EAF"/>
    <w:rsid w:val="007B604A"/>
    <w:rsid w:val="007B608C"/>
    <w:rsid w:val="007E0A3E"/>
    <w:rsid w:val="008248A2"/>
    <w:rsid w:val="00830C2B"/>
    <w:rsid w:val="00831C03"/>
    <w:rsid w:val="0088044D"/>
    <w:rsid w:val="0088515D"/>
    <w:rsid w:val="008960ED"/>
    <w:rsid w:val="008D38FB"/>
    <w:rsid w:val="008F2BF1"/>
    <w:rsid w:val="009141DC"/>
    <w:rsid w:val="00934DD1"/>
    <w:rsid w:val="0093561F"/>
    <w:rsid w:val="00970F5C"/>
    <w:rsid w:val="009851CE"/>
    <w:rsid w:val="009C34E3"/>
    <w:rsid w:val="009D4CB4"/>
    <w:rsid w:val="009D6114"/>
    <w:rsid w:val="00A05A5F"/>
    <w:rsid w:val="00A43D8C"/>
    <w:rsid w:val="00A4720D"/>
    <w:rsid w:val="00A54D29"/>
    <w:rsid w:val="00A61AC7"/>
    <w:rsid w:val="00A7022A"/>
    <w:rsid w:val="00A75B65"/>
    <w:rsid w:val="00A76031"/>
    <w:rsid w:val="00A861DB"/>
    <w:rsid w:val="00AA2698"/>
    <w:rsid w:val="00AA474A"/>
    <w:rsid w:val="00AF35E4"/>
    <w:rsid w:val="00B074D2"/>
    <w:rsid w:val="00B15EFD"/>
    <w:rsid w:val="00B472E5"/>
    <w:rsid w:val="00B65A45"/>
    <w:rsid w:val="00B87906"/>
    <w:rsid w:val="00BB37B8"/>
    <w:rsid w:val="00BF2588"/>
    <w:rsid w:val="00C14924"/>
    <w:rsid w:val="00C34B9A"/>
    <w:rsid w:val="00C4061C"/>
    <w:rsid w:val="00C54B8B"/>
    <w:rsid w:val="00C65FD6"/>
    <w:rsid w:val="00C70ECC"/>
    <w:rsid w:val="00C87503"/>
    <w:rsid w:val="00C93747"/>
    <w:rsid w:val="00CB3E35"/>
    <w:rsid w:val="00CC3A1D"/>
    <w:rsid w:val="00CC6FD7"/>
    <w:rsid w:val="00CF0BAA"/>
    <w:rsid w:val="00CF58EA"/>
    <w:rsid w:val="00D41C8C"/>
    <w:rsid w:val="00D91E9C"/>
    <w:rsid w:val="00DA7E8F"/>
    <w:rsid w:val="00DD480D"/>
    <w:rsid w:val="00DD7361"/>
    <w:rsid w:val="00E73D46"/>
    <w:rsid w:val="00E928BA"/>
    <w:rsid w:val="00EA6633"/>
    <w:rsid w:val="00ED7629"/>
    <w:rsid w:val="00F430B5"/>
    <w:rsid w:val="00F71536"/>
    <w:rsid w:val="00FB7C71"/>
    <w:rsid w:val="00FE6862"/>
    <w:rsid w:val="03BD6199"/>
    <w:rsid w:val="051303DF"/>
    <w:rsid w:val="0E010A88"/>
    <w:rsid w:val="0EB55FAD"/>
    <w:rsid w:val="10786F12"/>
    <w:rsid w:val="124E47EB"/>
    <w:rsid w:val="12936308"/>
    <w:rsid w:val="16827BEB"/>
    <w:rsid w:val="180627AC"/>
    <w:rsid w:val="1B8074EE"/>
    <w:rsid w:val="1D6B06CF"/>
    <w:rsid w:val="1D7F0704"/>
    <w:rsid w:val="1DDF068E"/>
    <w:rsid w:val="24745134"/>
    <w:rsid w:val="270311B0"/>
    <w:rsid w:val="31AA0C0A"/>
    <w:rsid w:val="33227212"/>
    <w:rsid w:val="38394C4C"/>
    <w:rsid w:val="39A05497"/>
    <w:rsid w:val="3A716562"/>
    <w:rsid w:val="3CC66044"/>
    <w:rsid w:val="3D5A0AB6"/>
    <w:rsid w:val="42EC00D8"/>
    <w:rsid w:val="43430AE7"/>
    <w:rsid w:val="4635213E"/>
    <w:rsid w:val="46F91E7C"/>
    <w:rsid w:val="49D80115"/>
    <w:rsid w:val="4EE74B80"/>
    <w:rsid w:val="50FB2D75"/>
    <w:rsid w:val="52F543A6"/>
    <w:rsid w:val="53481C31"/>
    <w:rsid w:val="55B058A3"/>
    <w:rsid w:val="565079AB"/>
    <w:rsid w:val="5DE83E9E"/>
    <w:rsid w:val="6025124B"/>
    <w:rsid w:val="617D4CFF"/>
    <w:rsid w:val="629B1C54"/>
    <w:rsid w:val="659F7D1B"/>
    <w:rsid w:val="66333A39"/>
    <w:rsid w:val="67F4149B"/>
    <w:rsid w:val="69FF27F5"/>
    <w:rsid w:val="6F5C2C41"/>
    <w:rsid w:val="723E077B"/>
    <w:rsid w:val="735402C3"/>
    <w:rsid w:val="75E35A02"/>
    <w:rsid w:val="771479EA"/>
    <w:rsid w:val="77904DB5"/>
    <w:rsid w:val="77D23F80"/>
    <w:rsid w:val="78D479CB"/>
    <w:rsid w:val="7C0E3995"/>
    <w:rsid w:val="7EF173E1"/>
    <w:rsid w:val="7FF5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0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name w:val="toc 1"/>
    <w:basedOn w:val="Normal"/>
    <w:next w:val="Normal"/>
    <w:pPr>
      <w:tabs>
        <w:tab w:val="right" w:leader="dot" w:pos="9062"/>
      </w:tabs>
      <w:jc w:val="center"/>
    </w:pPr>
    <w:rPr>
      <w:rFonts w:cs=".VnTime"/>
      <w:b/>
      <w:szCs w:val="28"/>
      <w:lang w:val="it-IT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Bodytext">
    <w:name w:val="Body text_"/>
    <w:link w:val="BodyText1"/>
    <w:qFormat/>
    <w:locked/>
    <w:rPr>
      <w:rFonts w:ascii="Calibri" w:eastAsia="Calibri" w:hAnsi="Calibri" w:cs="Times New Roman"/>
      <w:spacing w:val="5"/>
      <w:sz w:val="25"/>
      <w:szCs w:val="25"/>
    </w:rPr>
  </w:style>
  <w:style w:type="paragraph" w:customStyle="1" w:styleId="BodyText1">
    <w:name w:val="Body Text1"/>
    <w:basedOn w:val="Normal"/>
    <w:link w:val="Bodytext"/>
    <w:qFormat/>
    <w:pPr>
      <w:widowControl w:val="0"/>
      <w:shd w:val="clear" w:color="auto" w:fill="FFFFFF"/>
      <w:spacing w:line="322" w:lineRule="exact"/>
      <w:jc w:val="both"/>
    </w:pPr>
    <w:rPr>
      <w:rFonts w:ascii="Calibri" w:eastAsia="Calibri" w:hAnsi="Calibri" w:cs="Times New Roman"/>
      <w:spacing w:val="5"/>
      <w:sz w:val="25"/>
      <w:szCs w:val="25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 w:cstheme="minorBidi"/>
      <w:sz w:val="28"/>
      <w:szCs w:val="22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HAnsi" w:cstheme="minorBidi"/>
      <w:sz w:val="28"/>
      <w:szCs w:val="22"/>
    </w:rPr>
  </w:style>
  <w:style w:type="paragraph" w:customStyle="1" w:styleId="CharCharCharCharCharCharChar">
    <w:name w:val="Char Char Char Char Char Char Char"/>
    <w:basedOn w:val="Normal"/>
    <w:pPr>
      <w:spacing w:after="160" w:line="240" w:lineRule="exact"/>
    </w:pPr>
    <w:rPr>
      <w:rFonts w:ascii="Arial" w:eastAsia="SimSun" w:hAnsi="Arial" w:cs="Arial"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0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name w:val="toc 1"/>
    <w:basedOn w:val="Normal"/>
    <w:next w:val="Normal"/>
    <w:pPr>
      <w:tabs>
        <w:tab w:val="right" w:leader="dot" w:pos="9062"/>
      </w:tabs>
      <w:jc w:val="center"/>
    </w:pPr>
    <w:rPr>
      <w:rFonts w:cs=".VnTime"/>
      <w:b/>
      <w:szCs w:val="28"/>
      <w:lang w:val="it-IT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Bodytext">
    <w:name w:val="Body text_"/>
    <w:link w:val="BodyText1"/>
    <w:qFormat/>
    <w:locked/>
    <w:rPr>
      <w:rFonts w:ascii="Calibri" w:eastAsia="Calibri" w:hAnsi="Calibri" w:cs="Times New Roman"/>
      <w:spacing w:val="5"/>
      <w:sz w:val="25"/>
      <w:szCs w:val="25"/>
    </w:rPr>
  </w:style>
  <w:style w:type="paragraph" w:customStyle="1" w:styleId="BodyText1">
    <w:name w:val="Body Text1"/>
    <w:basedOn w:val="Normal"/>
    <w:link w:val="Bodytext"/>
    <w:qFormat/>
    <w:pPr>
      <w:widowControl w:val="0"/>
      <w:shd w:val="clear" w:color="auto" w:fill="FFFFFF"/>
      <w:spacing w:line="322" w:lineRule="exact"/>
      <w:jc w:val="both"/>
    </w:pPr>
    <w:rPr>
      <w:rFonts w:ascii="Calibri" w:eastAsia="Calibri" w:hAnsi="Calibri" w:cs="Times New Roman"/>
      <w:spacing w:val="5"/>
      <w:sz w:val="25"/>
      <w:szCs w:val="25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 w:cstheme="minorBidi"/>
      <w:sz w:val="28"/>
      <w:szCs w:val="22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HAnsi" w:cstheme="minorBidi"/>
      <w:sz w:val="28"/>
      <w:szCs w:val="22"/>
    </w:rPr>
  </w:style>
  <w:style w:type="paragraph" w:customStyle="1" w:styleId="CharCharCharCharCharCharChar">
    <w:name w:val="Char Char Char Char Char Char Char"/>
    <w:basedOn w:val="Normal"/>
    <w:pPr>
      <w:spacing w:after="160" w:line="240" w:lineRule="exact"/>
    </w:pPr>
    <w:rPr>
      <w:rFonts w:ascii="Arial" w:eastAsia="SimSun" w:hAnsi="Arial" w:cs="Arial"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8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2024-03-18T02:01:00Z</cp:lastPrinted>
  <dcterms:created xsi:type="dcterms:W3CDTF">2024-03-22T07:50:00Z</dcterms:created>
  <dcterms:modified xsi:type="dcterms:W3CDTF">2024-03-22T07:50:00Z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D67B894A990749E5B673291732D6869E_13</vt:lpwstr>
  </property>
</Properties>
</file>